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31" w:rsidRPr="008C6E8E" w:rsidRDefault="003F7A31" w:rsidP="003F7A31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8C6E8E">
        <w:rPr>
          <w:rFonts w:eastAsia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3F7A31" w:rsidRPr="00B35BA2" w:rsidTr="005D29BF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3F7A31" w:rsidRPr="00B35BA2" w:rsidRDefault="003F7A31" w:rsidP="005D29BF">
            <w:pPr>
              <w:ind w:left="-142" w:firstLine="248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3F7A31" w:rsidRPr="00B35BA2" w:rsidRDefault="003F7A31" w:rsidP="005D29BF">
            <w:pPr>
              <w:ind w:left="-142" w:firstLine="248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ПМ 02.  Осуществление лечебно-диагностической деятельности</w:t>
            </w:r>
          </w:p>
          <w:p w:rsidR="003F7A31" w:rsidRPr="00B35BA2" w:rsidRDefault="003F7A31" w:rsidP="005D29BF">
            <w:pPr>
              <w:ind w:left="-142" w:firstLine="14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МДК.02.05. Акушерство и гинекология</w:t>
            </w:r>
          </w:p>
          <w:p w:rsidR="003F7A31" w:rsidRPr="00B35BA2" w:rsidRDefault="003F7A31" w:rsidP="005D29BF">
            <w:pPr>
              <w:ind w:left="-142" w:firstLine="14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caps/>
                <w:sz w:val="20"/>
                <w:szCs w:val="20"/>
                <w:lang w:eastAsia="ru-RU"/>
              </w:rPr>
              <w:t>Технологическая карта ПРАКТИЧЕСКОГО занятия (ПЗ</w:t>
            </w:r>
            <w:r w:rsidRPr="00B35BA2">
              <w:rPr>
                <w:rFonts w:eastAsia="Times New Roman"/>
                <w:b/>
                <w:bCs/>
                <w:caps/>
                <w:sz w:val="20"/>
                <w:szCs w:val="20"/>
                <w:u w:val="single"/>
                <w:lang w:eastAsia="ru-RU"/>
              </w:rPr>
              <w:t>) № 9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Проведение диагностики и </w:t>
            </w:r>
            <w:proofErr w:type="gramStart"/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>лечения</w:t>
            </w:r>
            <w:proofErr w:type="gramEnd"/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послеродовых инфекционно-воспалительных заболеваний. Дифференцированный зачет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Кабинет акушерства и гинекологии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6 часов </w:t>
            </w:r>
            <w:r w:rsidRPr="00B35BA2">
              <w:rPr>
                <w:rFonts w:eastAsia="Times New Roman"/>
                <w:sz w:val="20"/>
                <w:szCs w:val="20"/>
                <w:lang w:val="en-US" w:eastAsia="ru-RU"/>
              </w:rPr>
              <w:t>=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270 мин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Цели занятия</w:t>
            </w:r>
          </w:p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ПК 2.1, ПК 2.2, ПК 2.3, ПК 2.4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1, ОК2, ОК 3, ОК 4, ОК5, ОК 6, ОК 7, ОК 8, ОК 9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знать:</w:t>
            </w:r>
            <w:r w:rsidRPr="00B35BA2">
              <w:rPr>
                <w:sz w:val="20"/>
                <w:szCs w:val="20"/>
              </w:rPr>
              <w:t xml:space="preserve"> </w:t>
            </w: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1. Послеродовые инфекционно-воспалительные заболевания: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а) классификацию, этиологию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б) клиническую картину, методы диагностики и интерпретацию результатов инструментальных и лабораторных методов обследования, группу повышенного риска 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в) правила постановки предварительного диагноза в соответствие с МКБ. 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г) принципы лечения и тактику ведения беременности, родов, послеродового периода с учетом оказания неотложной помощи 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д) оценку эффективности проводимого лечения. 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2. Ответы на вопросы к дифференцированному зачету.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3F7A31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уметь:</w:t>
            </w:r>
            <w:r w:rsidRPr="00B35BA2">
              <w:rPr>
                <w:sz w:val="20"/>
                <w:szCs w:val="20"/>
              </w:rPr>
              <w:t xml:space="preserve"> </w:t>
            </w:r>
          </w:p>
          <w:p w:rsidR="003F7A31" w:rsidRPr="00B35BA2" w:rsidRDefault="003F7A31" w:rsidP="003F7A31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1. Провести обследование родильницы: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а) собрать жалобы, анамнез жизни;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б) провести </w:t>
            </w:r>
            <w:proofErr w:type="spell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физикальное</w:t>
            </w:r>
            <w:proofErr w:type="spell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обследование;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в) интерпретировать результаты обследования родильницы.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2.Выполнить подготовку к диагностическим мероприятиям и интерпретировать результаты дополнительного исследования (</w:t>
            </w:r>
            <w:r w:rsidR="00343A37" w:rsidRPr="00B35BA2">
              <w:rPr>
                <w:rFonts w:eastAsia="Times New Roman"/>
                <w:sz w:val="20"/>
                <w:szCs w:val="20"/>
                <w:lang w:eastAsia="ru-RU"/>
              </w:rPr>
              <w:t>бактериологическому исследованию отделяемого влагалища, УЗИ органов малого таза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3. Оценить анатомо-функциональное состояние органов и систем </w:t>
            </w:r>
            <w:r w:rsidR="00343A37"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организма 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родильницы.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Определить такти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ку ведения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послеродового периода.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5.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Составить план ведения послеродового периода, включая наблюдение за родильницей.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 Оценить и пр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овести контроль состояния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родильницы.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 Определить показания, противопоказания к применению лекарственных средств.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.Установить предварительный диагноз в соответствие с МКБ -10 и провести дифференциальную диагностику.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 Провести экспертизу трудоспособнос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ти, связанной с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послеродовым периодом.</w:t>
            </w:r>
          </w:p>
          <w:p w:rsidR="003F7A31" w:rsidRPr="00B35BA2" w:rsidRDefault="00343A37" w:rsidP="005D29B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3F7A31" w:rsidRPr="00B35BA2">
              <w:rPr>
                <w:rFonts w:eastAsia="Calibri"/>
                <w:sz w:val="20"/>
                <w:szCs w:val="20"/>
              </w:rPr>
              <w:t xml:space="preserve">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Оформить первичную медицинскую документацию.</w:t>
            </w:r>
          </w:p>
          <w:p w:rsidR="003F7A31" w:rsidRPr="00B35BA2" w:rsidRDefault="00343A37" w:rsidP="00343A3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 Провест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и диагностические манипуляции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3F7A31" w:rsidRPr="00B35BA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оценка характера </w:t>
            </w:r>
            <w:proofErr w:type="spell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лохий</w:t>
            </w:r>
            <w:proofErr w:type="spell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, измерение температуры тела; измерение АД по методу Короткова; пальпация матки, молочных желез.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Провести  медицинские манипуляции и процедуры:</w:t>
            </w:r>
            <w:r w:rsidR="00343A37" w:rsidRPr="00B35BA2">
              <w:rPr>
                <w:sz w:val="20"/>
                <w:szCs w:val="20"/>
              </w:rPr>
              <w:t xml:space="preserve"> </w:t>
            </w:r>
            <w:r w:rsidR="00343A37" w:rsidRPr="00B35BA2">
              <w:rPr>
                <w:rFonts w:eastAsia="Calibri"/>
                <w:bCs/>
                <w:sz w:val="20"/>
                <w:szCs w:val="20"/>
              </w:rPr>
              <w:t>внутривенное введение антибактериальных препаратов, туалет наружных половых органов.</w:t>
            </w:r>
          </w:p>
          <w:p w:rsidR="00343A37" w:rsidRPr="00B35BA2" w:rsidRDefault="00343A37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12. Ответить на вопросы для дифференцированного зачета и выполнить манипуляции.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Информационное обеспечение:      </w:t>
            </w: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. и доп. – Москва</w:t>
            </w:r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ГЭОТАР-Медиа, 2022. - 912 с.</w:t>
            </w:r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ил.  - URL: https://www.studentlibrary.ru/book </w:t>
            </w:r>
          </w:p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2. Славянова И. К. Акушерство и гинекология / И. К. Славянова. - Ростов-на-Дону: Феникс, 2021. - 573 </w:t>
            </w:r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. - (Среднее медицинское образование).  - URL: https://www.studentlibrary.ru/book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numPr>
                <w:ilvl w:val="0"/>
                <w:numId w:val="1"/>
              </w:numPr>
              <w:spacing w:after="160" w:line="259" w:lineRule="auto"/>
              <w:ind w:left="33" w:hanging="141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Медицинская карта беременной, роженицы и родильницы, получающей медицинскую помощь в стационарных условиях (УФ №096/у-20), Вкладыш «История родов» (УФ №096/1у-20).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3F7A31" w:rsidRPr="00B35BA2" w:rsidRDefault="00E40914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Клинические рекомендации «Послеродовые инфекционные осложнения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3F7A31" w:rsidRPr="00B35B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(Клинические ре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комендации МЗ РФ</w:t>
            </w:r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hyperlink r:id="rId6" w:history="1">
              <w:proofErr w:type="gramStart"/>
              <w:r w:rsidR="003F7A31" w:rsidRPr="00B35BA2">
                <w:rPr>
                  <w:rFonts w:eastAsia="Times New Roman"/>
                  <w:sz w:val="20"/>
                  <w:szCs w:val="20"/>
                  <w:u w:val="single"/>
                  <w:lang w:eastAsia="ru-RU"/>
                </w:rPr>
                <w:t>URL:https://cr.minzdrav.gov.ru</w:t>
              </w:r>
            </w:hyperlink>
            <w:r w:rsidR="003F7A31" w:rsidRPr="00B35BA2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Проектор 1 </w:t>
            </w:r>
            <w:proofErr w:type="spellStart"/>
            <w:proofErr w:type="gram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,, экран 1 </w:t>
            </w:r>
            <w:proofErr w:type="spellStart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B35BA2">
              <w:rPr>
                <w:rFonts w:eastAsia="Times New Roman"/>
                <w:sz w:val="20"/>
                <w:szCs w:val="20"/>
                <w:lang w:eastAsia="ru-RU"/>
              </w:rPr>
              <w:t>,, компьютер 1 шт.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наглядные средства</w:t>
            </w: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Антисептики, емкости для медицинских отход, фантом для отработки практических манипуляций, маски медицинские, медицинские перчатки, набор акушерского и</w:t>
            </w:r>
            <w:r w:rsidR="00E40914" w:rsidRPr="00B35BA2">
              <w:rPr>
                <w:rFonts w:eastAsia="Times New Roman"/>
                <w:sz w:val="20"/>
                <w:szCs w:val="20"/>
                <w:lang w:eastAsia="ru-RU"/>
              </w:rPr>
              <w:t>нструментария, тонометр, термометр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E40914"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Оснащение для проведения манипуляций к дифференцированному зачету.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A31" w:rsidRPr="008C6E8E" w:rsidTr="005D2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3F7A31" w:rsidRPr="00B35BA2" w:rsidRDefault="003F7A31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Карточки с текстом сценария </w:t>
            </w:r>
            <w:r w:rsidR="00E40914" w:rsidRPr="00B35BA2">
              <w:rPr>
                <w:rFonts w:eastAsia="Times New Roman"/>
                <w:sz w:val="20"/>
                <w:szCs w:val="20"/>
                <w:lang w:eastAsia="ru-RU"/>
              </w:rPr>
              <w:t>профессиональной ситуации – по 1 сценарию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(комплект 10 шт.)</w:t>
            </w:r>
          </w:p>
          <w:p w:rsidR="00E40914" w:rsidRPr="00B35BA2" w:rsidRDefault="00E40914" w:rsidP="005D29B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sz w:val="20"/>
                <w:szCs w:val="20"/>
                <w:lang w:eastAsia="ru-RU"/>
              </w:rPr>
              <w:t>Билеты для проведения дифференцированного зачета</w:t>
            </w:r>
          </w:p>
        </w:tc>
      </w:tr>
    </w:tbl>
    <w:p w:rsidR="003F7A31" w:rsidRPr="008C6E8E" w:rsidRDefault="003F7A31" w:rsidP="003F7A31">
      <w:pPr>
        <w:rPr>
          <w:rFonts w:eastAsia="Calibri"/>
          <w:sz w:val="18"/>
          <w:szCs w:val="18"/>
        </w:rPr>
      </w:pPr>
    </w:p>
    <w:p w:rsidR="003F7A31" w:rsidRPr="00B35BA2" w:rsidRDefault="003F7A31" w:rsidP="003F7A31">
      <w:pPr>
        <w:rPr>
          <w:rFonts w:eastAsia="Calibri"/>
          <w:color w:val="FF0000"/>
          <w:sz w:val="20"/>
          <w:szCs w:val="20"/>
        </w:rPr>
      </w:pPr>
    </w:p>
    <w:p w:rsidR="003F7A31" w:rsidRPr="00B35BA2" w:rsidRDefault="003F7A31" w:rsidP="003F7A31">
      <w:pPr>
        <w:jc w:val="center"/>
        <w:rPr>
          <w:rFonts w:eastAsia="Times New Roman"/>
          <w:b/>
          <w:bCs/>
          <w:sz w:val="20"/>
          <w:szCs w:val="20"/>
          <w:lang w:val="en-US" w:eastAsia="ru-RU"/>
        </w:rPr>
      </w:pPr>
      <w:r w:rsidRPr="00B35BA2">
        <w:rPr>
          <w:rFonts w:eastAsia="Times New Roman"/>
          <w:b/>
          <w:bCs/>
          <w:sz w:val="20"/>
          <w:szCs w:val="20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3F7A31" w:rsidRPr="00B35BA2" w:rsidTr="005D29BF"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Время</w:t>
            </w: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(мин.)</w:t>
            </w:r>
          </w:p>
        </w:tc>
      </w:tr>
      <w:tr w:rsidR="003F7A31" w:rsidRPr="00B35BA2" w:rsidTr="005D29BF"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3F7A31" w:rsidRPr="00B35BA2" w:rsidRDefault="005C6E1F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2</w:t>
            </w:r>
            <w:r w:rsidR="003F7A31"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7A31" w:rsidRPr="00B35BA2" w:rsidTr="005D29BF"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3F7A31" w:rsidRPr="00B35BA2" w:rsidRDefault="004F66D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F7A31" w:rsidRPr="00B35BA2" w:rsidTr="005D29BF"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Характеристики ПК, </w:t>
            </w:r>
            <w:proofErr w:type="gramStart"/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, применительно к теме и пошаговый алгоритм их формирования на занятии   </w:t>
            </w: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- обсуждение ПК 2.1, ПК 2.2, ПК 2.3, ПК 2.4; </w:t>
            </w:r>
            <w:proofErr w:type="gramStart"/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ОК</w:t>
            </w:r>
            <w:proofErr w:type="gramEnd"/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1, ОК2, ОК 3, ОК 4, ОК5, ОК 6, ОК 7, ОК 8, ОК 9</w:t>
            </w: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F7A31" w:rsidRPr="00B35BA2" w:rsidTr="005D29BF">
        <w:trPr>
          <w:trHeight w:val="1700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B35BA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(устный фронтальный опрос</w:t>
            </w: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3F7A31" w:rsidRPr="00B35BA2" w:rsidRDefault="00E40914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Послеродовые инфекционно-воспалительные заболевания:</w:t>
            </w:r>
          </w:p>
          <w:p w:rsidR="003F7A31" w:rsidRPr="00B35BA2" w:rsidRDefault="003F7A31" w:rsidP="005D29B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1.Классификация. Этиология.</w:t>
            </w:r>
          </w:p>
          <w:p w:rsidR="003F7A31" w:rsidRPr="00B35BA2" w:rsidRDefault="003F7A31" w:rsidP="005D29BF">
            <w:pPr>
              <w:spacing w:after="16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2.Клиническая картина, диагностика и интерпретация результатов обследования, группа повышенного риска по возникновению родового травматизма.  </w:t>
            </w:r>
          </w:p>
          <w:p w:rsidR="003F7A31" w:rsidRPr="00B35BA2" w:rsidRDefault="003F7A31" w:rsidP="005D29BF">
            <w:pPr>
              <w:spacing w:after="16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3.Дифференциальная диагностика. Правила постановки предварительного диагноза в соответствие с МКБ. </w:t>
            </w:r>
          </w:p>
          <w:p w:rsidR="003F7A31" w:rsidRPr="00B35BA2" w:rsidRDefault="003F7A31" w:rsidP="005D29BF">
            <w:pPr>
              <w:spacing w:after="16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4.Принципы лечения. </w:t>
            </w:r>
          </w:p>
          <w:p w:rsidR="003F7A31" w:rsidRPr="00B35BA2" w:rsidRDefault="003F7A31" w:rsidP="005D29BF">
            <w:pPr>
              <w:spacing w:after="16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5.Оказание неотложной медицинской помощи на госпитальном этапе при разрыве матки.</w:t>
            </w:r>
          </w:p>
          <w:p w:rsidR="003F7A31" w:rsidRPr="00B35BA2" w:rsidRDefault="003F7A31" w:rsidP="005D29BF">
            <w:pPr>
              <w:rPr>
                <w:rFonts w:eastAsia="Calibri"/>
                <w:bCs/>
                <w:sz w:val="20"/>
                <w:szCs w:val="20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>6. Оценка эффективности проводимого лечения.</w:t>
            </w:r>
          </w:p>
          <w:p w:rsidR="003F7A31" w:rsidRPr="00B35BA2" w:rsidRDefault="003F7A31" w:rsidP="005D29BF">
            <w:pPr>
              <w:ind w:left="366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3F7A31" w:rsidRPr="00B35BA2" w:rsidRDefault="005C6E1F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3F7A31" w:rsidRPr="00B35BA2" w:rsidTr="005D29BF">
        <w:trPr>
          <w:trHeight w:val="2208"/>
        </w:trPr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инструктаж преподавателя</w:t>
            </w: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(объяснение хода работы, демонстрация манипуляции.) 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3F7A31" w:rsidRPr="00B35BA2" w:rsidRDefault="003F7A31" w:rsidP="005D29BF">
            <w:pPr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Задание № 1. </w:t>
            </w:r>
            <w:r w:rsidR="004F66D1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Проведение внутривенного введения антибактериальных препаратов</w:t>
            </w:r>
          </w:p>
          <w:p w:rsidR="003F7A31" w:rsidRPr="00B35BA2" w:rsidRDefault="003F7A31" w:rsidP="005D29BF">
            <w:pPr>
              <w:jc w:val="both"/>
              <w:rPr>
                <w:sz w:val="20"/>
                <w:szCs w:val="20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Задание №2.</w:t>
            </w:r>
            <w:r w:rsidRPr="00B35B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 xml:space="preserve">Подготовка к </w:t>
            </w:r>
            <w:r w:rsidR="00E40914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бактериологическому исследованию отделяемого влагалища</w:t>
            </w:r>
          </w:p>
          <w:p w:rsidR="003F7A31" w:rsidRPr="00B35BA2" w:rsidRDefault="003F7A31" w:rsidP="005D29BF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Задание №3. </w:t>
            </w:r>
            <w:r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Подготовка к</w:t>
            </w:r>
            <w:r w:rsidRPr="00B35B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УЗИ органов малого таза</w:t>
            </w:r>
          </w:p>
          <w:p w:rsidR="003F7A31" w:rsidRPr="00B35BA2" w:rsidRDefault="003F7A31" w:rsidP="005D29BF">
            <w:pPr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Calibri"/>
                <w:bCs/>
                <w:sz w:val="20"/>
                <w:szCs w:val="20"/>
              </w:rPr>
              <w:t xml:space="preserve">Задание №4. </w:t>
            </w:r>
            <w:r w:rsidRPr="00B35BA2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r w:rsidR="004F66D1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Повторение техники измерения температуры тела; АД по методу Короткова; пальпации матки, молочных желез,</w:t>
            </w:r>
            <w:r w:rsidR="004F66D1" w:rsidRPr="00B35BA2">
              <w:rPr>
                <w:sz w:val="20"/>
                <w:szCs w:val="20"/>
              </w:rPr>
              <w:t xml:space="preserve"> </w:t>
            </w:r>
            <w:r w:rsidR="004F66D1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туалет</w:t>
            </w:r>
            <w:r w:rsidR="001F5199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а</w:t>
            </w:r>
            <w:r w:rsidR="004F66D1"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 xml:space="preserve"> наружных половых органов.</w:t>
            </w:r>
          </w:p>
          <w:p w:rsidR="004F66D1" w:rsidRPr="00B35BA2" w:rsidRDefault="004F66D1" w:rsidP="005D29BF">
            <w:pPr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</w:pPr>
            <w:r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>Проведение дифференцированного зачета.</w:t>
            </w:r>
          </w:p>
          <w:p w:rsidR="00E40914" w:rsidRPr="00B35BA2" w:rsidRDefault="003F7A31" w:rsidP="004F66D1">
            <w:pPr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35BA2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ценка практической работы по пятибалльной шкале</w:t>
            </w:r>
          </w:p>
        </w:tc>
        <w:tc>
          <w:tcPr>
            <w:tcW w:w="921" w:type="dxa"/>
          </w:tcPr>
          <w:p w:rsidR="003F7A31" w:rsidRPr="00B35BA2" w:rsidRDefault="005C6E1F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220</w:t>
            </w:r>
          </w:p>
        </w:tc>
      </w:tr>
      <w:tr w:rsidR="003F7A31" w:rsidRPr="00B35BA2" w:rsidTr="005D29BF">
        <w:trPr>
          <w:trHeight w:val="828"/>
        </w:trPr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3F7A31" w:rsidRPr="00B35BA2" w:rsidRDefault="003F7A31" w:rsidP="005D29BF">
            <w:pPr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- совместный разбор и обсуждение </w:t>
            </w:r>
            <w:proofErr w:type="spellStart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 –  ориентированного задания</w:t>
            </w:r>
          </w:p>
          <w:p w:rsidR="003F7A31" w:rsidRPr="00B35BA2" w:rsidRDefault="003F7A31" w:rsidP="005D29BF">
            <w:pPr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- самостоятельное решение </w:t>
            </w:r>
            <w:proofErr w:type="spellStart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 xml:space="preserve"> – ориентированного задания </w:t>
            </w:r>
          </w:p>
          <w:p w:rsidR="003F7A31" w:rsidRPr="00B35BA2" w:rsidRDefault="003F7A31" w:rsidP="005D29BF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- формирующее оценивание ПК, </w:t>
            </w:r>
            <w:proofErr w:type="gramStart"/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ОК</w:t>
            </w:r>
            <w:proofErr w:type="gramEnd"/>
            <w:r w:rsidRPr="00B35BA2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B35BA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3F7A31" w:rsidRPr="00B35BA2" w:rsidRDefault="004F66D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3F7A31" w:rsidRPr="00B35BA2" w:rsidTr="005D29BF">
        <w:trPr>
          <w:trHeight w:val="415"/>
        </w:trPr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Балльно</w:t>
            </w:r>
            <w:proofErr w:type="spellEnd"/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(выставление среднего балла по результатам  оценки  знаний</w:t>
            </w:r>
            <w:r w:rsidR="005C6E1F" w:rsidRPr="00B35BA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студента  и практической работы, оценки за дифференцированный зачет</w:t>
            </w:r>
            <w:r w:rsidRPr="00B35BA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3F7A31" w:rsidRPr="00B35BA2" w:rsidTr="005D29BF"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404" w:type="dxa"/>
          </w:tcPr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F7A31" w:rsidRPr="00B35BA2" w:rsidTr="004F66D1">
        <w:trPr>
          <w:trHeight w:val="1160"/>
        </w:trPr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404" w:type="dxa"/>
          </w:tcPr>
          <w:p w:rsidR="003F7A31" w:rsidRPr="00B35BA2" w:rsidRDefault="004F66D1" w:rsidP="005D29B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Домашнее задание 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3F7A31" w:rsidRPr="00B35BA2" w:rsidTr="005D29BF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3F7A31" w:rsidRPr="00B35BA2" w:rsidRDefault="003F7A31" w:rsidP="005D29BF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5BA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F7A31" w:rsidRPr="00B35BA2" w:rsidRDefault="003F7A31" w:rsidP="005D29BF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35BA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  <w:p w:rsidR="003F7A31" w:rsidRPr="00B35BA2" w:rsidRDefault="003F7A31" w:rsidP="005D29BF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7A31" w:rsidRPr="00B35BA2" w:rsidTr="005D29BF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3F7A31" w:rsidRPr="00B35BA2" w:rsidRDefault="004F66D1" w:rsidP="004F66D1">
                  <w:pPr>
                    <w:spacing w:after="160"/>
                    <w:contextualSpacing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B35BA2">
                    <w:rPr>
                      <w:rFonts w:eastAsia="Calibri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3F7A31" w:rsidRPr="00B35BA2" w:rsidRDefault="004F66D1" w:rsidP="005D29BF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35BA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F7A31" w:rsidRPr="00B35BA2" w:rsidRDefault="003F7A31" w:rsidP="005D29B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3F7A31" w:rsidRPr="00B35BA2" w:rsidRDefault="003F7A31" w:rsidP="005D29BF">
            <w:pPr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F7A31" w:rsidRPr="00B35BA2" w:rsidTr="005D29BF">
        <w:trPr>
          <w:trHeight w:val="70"/>
        </w:trPr>
        <w:tc>
          <w:tcPr>
            <w:tcW w:w="59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4" w:type="dxa"/>
          </w:tcPr>
          <w:p w:rsidR="003F7A31" w:rsidRPr="00B35BA2" w:rsidRDefault="003F7A31" w:rsidP="005D29B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3F7A31" w:rsidRPr="00B35BA2" w:rsidRDefault="003F7A31" w:rsidP="005D29BF">
            <w:pPr>
              <w:jc w:val="center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35BA2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270</w:t>
            </w:r>
          </w:p>
        </w:tc>
      </w:tr>
    </w:tbl>
    <w:p w:rsidR="003F7A31" w:rsidRPr="00B35BA2" w:rsidRDefault="003F7A31" w:rsidP="003F7A31">
      <w:pPr>
        <w:rPr>
          <w:rFonts w:eastAsia="Times New Roman"/>
          <w:sz w:val="20"/>
          <w:szCs w:val="20"/>
          <w:lang w:eastAsia="ru-RU"/>
        </w:rPr>
      </w:pPr>
      <w:r w:rsidRPr="00B35BA2">
        <w:rPr>
          <w:rFonts w:eastAsia="Times New Roman"/>
          <w:sz w:val="20"/>
          <w:szCs w:val="20"/>
          <w:lang w:eastAsia="ru-RU"/>
        </w:rPr>
        <w:t>Разработал преподаватель: Александрина Е.А.</w:t>
      </w:r>
      <w:r w:rsidRPr="00B35BA2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B35BA2">
        <w:rPr>
          <w:rFonts w:eastAsia="Times New Roman"/>
          <w:sz w:val="20"/>
          <w:szCs w:val="20"/>
          <w:lang w:eastAsia="ru-RU"/>
        </w:rPr>
        <w:t>Утверждена на ЦМК специальности Лечебное дело.  Протокол № 4 от 25.11. 2024 г.</w:t>
      </w:r>
    </w:p>
    <w:p w:rsidR="003F7A31" w:rsidRPr="00B35BA2" w:rsidRDefault="003F7A31" w:rsidP="003F7A31">
      <w:pPr>
        <w:ind w:left="851"/>
        <w:jc w:val="right"/>
        <w:rPr>
          <w:rFonts w:eastAsia="Times New Roman"/>
          <w:bCs/>
          <w:sz w:val="20"/>
          <w:szCs w:val="20"/>
          <w:lang w:eastAsia="ru-RU"/>
        </w:rPr>
      </w:pPr>
    </w:p>
    <w:p w:rsidR="003F7A31" w:rsidRPr="008C6E8E" w:rsidRDefault="003F7A31" w:rsidP="003F7A3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05BFA" w:rsidRDefault="00105BFA"/>
    <w:p w:rsidR="005C6E1F" w:rsidRDefault="005C6E1F"/>
    <w:p w:rsidR="005C6E1F" w:rsidRDefault="005C6E1F"/>
    <w:p w:rsidR="005C6E1F" w:rsidRDefault="005C6E1F"/>
    <w:p w:rsidR="005C6E1F" w:rsidRDefault="005C6E1F"/>
    <w:p w:rsidR="005C6E1F" w:rsidRDefault="005C6E1F"/>
    <w:p w:rsidR="005C6E1F" w:rsidRDefault="005C6E1F"/>
    <w:p w:rsidR="001F5199" w:rsidRDefault="001F5199">
      <w:bookmarkStart w:id="0" w:name="_GoBack"/>
      <w:bookmarkEnd w:id="0"/>
    </w:p>
    <w:p w:rsidR="001F5199" w:rsidRDefault="001F5199"/>
    <w:p w:rsidR="005C6E1F" w:rsidRPr="008C6E8E" w:rsidRDefault="005C6E1F" w:rsidP="005C6E1F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8C6E8E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5C6E1F" w:rsidRPr="008C6E8E" w:rsidRDefault="005C6E1F" w:rsidP="005C6E1F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8C6E8E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5C6E1F" w:rsidRPr="008C6E8E" w:rsidRDefault="005C6E1F" w:rsidP="005C6E1F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5C6E1F" w:rsidRPr="008C6E8E" w:rsidRDefault="005C6E1F" w:rsidP="005C6E1F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8C6E8E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8C6E8E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5C6E1F" w:rsidRPr="008C6E8E" w:rsidRDefault="005C6E1F" w:rsidP="005C6E1F">
      <w:pPr>
        <w:ind w:left="851"/>
        <w:rPr>
          <w:rFonts w:eastAsia="Times New Roman"/>
          <w:bCs/>
          <w:i/>
          <w:szCs w:val="18"/>
          <w:lang w:eastAsia="ru-RU"/>
        </w:rPr>
      </w:pPr>
      <w:r w:rsidRPr="008C6E8E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C6E1F" w:rsidRPr="008C6E8E" w:rsidRDefault="005C6E1F" w:rsidP="005C6E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i/>
          <w:szCs w:val="18"/>
          <w:lang w:eastAsia="ru-RU"/>
        </w:rPr>
      </w:pPr>
      <w:r w:rsidRPr="008C6E8E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8C6E8E">
        <w:rPr>
          <w:rFonts w:eastAsia="Times New Roman"/>
          <w:i/>
          <w:szCs w:val="18"/>
          <w:lang w:eastAsia="ru-RU"/>
        </w:rPr>
        <w:t>профессиональной ситуации №1.</w:t>
      </w:r>
    </w:p>
    <w:p w:rsidR="00A87CFD" w:rsidRPr="00A87CFD" w:rsidRDefault="00A87CFD" w:rsidP="00A87C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Фельдшер ФАП осуществляет вызов к родильнице Б., 25 лет, по поводу повышения температуры тела до 38,9</w:t>
      </w:r>
      <w:r w:rsidRPr="00A87CFD">
        <w:rPr>
          <w:rFonts w:eastAsia="Times New Roman"/>
          <w:szCs w:val="18"/>
          <w:lang w:eastAsia="ru-RU"/>
        </w:rPr>
        <w:t xml:space="preserve"> С, озноб</w:t>
      </w:r>
      <w:r>
        <w:rPr>
          <w:rFonts w:eastAsia="Times New Roman"/>
          <w:szCs w:val="18"/>
          <w:lang w:eastAsia="ru-RU"/>
        </w:rPr>
        <w:t>а, головной боли, слабости</w:t>
      </w:r>
      <w:r w:rsidRPr="00A87CFD">
        <w:rPr>
          <w:rFonts w:eastAsia="Times New Roman"/>
          <w:szCs w:val="18"/>
          <w:lang w:eastAsia="ru-RU"/>
        </w:rPr>
        <w:t>, боли внизу живота. Роды вторые</w:t>
      </w:r>
      <w:r>
        <w:rPr>
          <w:rFonts w:eastAsia="Times New Roman"/>
          <w:szCs w:val="18"/>
          <w:lang w:eastAsia="ru-RU"/>
        </w:rPr>
        <w:t xml:space="preserve"> 10 дней назад, своевременные, осложнились преждевременным </w:t>
      </w:r>
      <w:r w:rsidRPr="00A87CFD">
        <w:rPr>
          <w:rFonts w:eastAsia="Times New Roman"/>
          <w:szCs w:val="18"/>
          <w:lang w:eastAsia="ru-RU"/>
        </w:rPr>
        <w:t xml:space="preserve"> излитием околоплодных вод, первично</w:t>
      </w:r>
      <w:r>
        <w:rPr>
          <w:rFonts w:eastAsia="Times New Roman"/>
          <w:szCs w:val="18"/>
          <w:lang w:eastAsia="ru-RU"/>
        </w:rPr>
        <w:t>й слабостью родовых сил. Родильница</w:t>
      </w:r>
      <w:r w:rsidRPr="00A87CFD">
        <w:rPr>
          <w:rFonts w:eastAsia="Times New Roman"/>
          <w:szCs w:val="18"/>
          <w:lang w:eastAsia="ru-RU"/>
        </w:rPr>
        <w:t xml:space="preserve"> выпи</w:t>
      </w:r>
      <w:r>
        <w:rPr>
          <w:rFonts w:eastAsia="Times New Roman"/>
          <w:szCs w:val="18"/>
          <w:lang w:eastAsia="ru-RU"/>
        </w:rPr>
        <w:t>сана из родильного дома на 3</w:t>
      </w:r>
      <w:r w:rsidRPr="00A87CFD">
        <w:rPr>
          <w:rFonts w:eastAsia="Times New Roman"/>
          <w:szCs w:val="18"/>
          <w:lang w:eastAsia="ru-RU"/>
        </w:rPr>
        <w:t xml:space="preserve"> сутки после родов в удовлетворительном состоянии.</w:t>
      </w:r>
    </w:p>
    <w:p w:rsidR="00A87CFD" w:rsidRPr="00A87CFD" w:rsidRDefault="00A87CFD" w:rsidP="00A87C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Вчера вечером дома повысилась</w:t>
      </w:r>
      <w:r w:rsidRPr="00A87CFD">
        <w:rPr>
          <w:rFonts w:eastAsia="Times New Roman"/>
          <w:szCs w:val="18"/>
          <w:lang w:eastAsia="ru-RU"/>
        </w:rPr>
        <w:t xml:space="preserve"> температура тела до 38,30</w:t>
      </w:r>
      <w:proofErr w:type="gramStart"/>
      <w:r w:rsidRPr="00A87CFD">
        <w:rPr>
          <w:rFonts w:eastAsia="Times New Roman"/>
          <w:szCs w:val="18"/>
          <w:lang w:eastAsia="ru-RU"/>
        </w:rPr>
        <w:t xml:space="preserve"> С</w:t>
      </w:r>
      <w:proofErr w:type="gramEnd"/>
      <w:r w:rsidRPr="00A87CFD">
        <w:rPr>
          <w:rFonts w:eastAsia="Times New Roman"/>
          <w:szCs w:val="18"/>
          <w:lang w:eastAsia="ru-RU"/>
        </w:rPr>
        <w:t>, был озноб, обильное потоотделение, слабость, ночь спала плохо. К утру появились боли внизу живота, кро</w:t>
      </w:r>
      <w:r w:rsidR="001F5199">
        <w:rPr>
          <w:rFonts w:eastAsia="Times New Roman"/>
          <w:szCs w:val="18"/>
          <w:lang w:eastAsia="ru-RU"/>
        </w:rPr>
        <w:t>вянистые выделения из влагалища</w:t>
      </w:r>
      <w:r w:rsidRPr="00A87CFD">
        <w:rPr>
          <w:rFonts w:eastAsia="Times New Roman"/>
          <w:szCs w:val="18"/>
          <w:lang w:eastAsia="ru-RU"/>
        </w:rPr>
        <w:t xml:space="preserve"> с неприятным запахом. В связи с повышением температуры ночью приняла аспирин 0,5 и</w:t>
      </w:r>
      <w:r w:rsidR="001F5199">
        <w:rPr>
          <w:rFonts w:eastAsia="Times New Roman"/>
          <w:szCs w:val="18"/>
          <w:lang w:eastAsia="ru-RU"/>
        </w:rPr>
        <w:t xml:space="preserve"> 1</w:t>
      </w:r>
      <w:r w:rsidRPr="00A87CFD">
        <w:rPr>
          <w:rFonts w:eastAsia="Times New Roman"/>
          <w:szCs w:val="18"/>
          <w:lang w:eastAsia="ru-RU"/>
        </w:rPr>
        <w:t xml:space="preserve"> таблетку анальгина.</w:t>
      </w:r>
    </w:p>
    <w:p w:rsidR="00A87CFD" w:rsidRPr="00A87CFD" w:rsidRDefault="00A87CFD" w:rsidP="00A87C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 w:rsidRPr="00A87CFD">
        <w:rPr>
          <w:rFonts w:eastAsia="Times New Roman"/>
          <w:szCs w:val="18"/>
          <w:lang w:eastAsia="ru-RU"/>
        </w:rPr>
        <w:t>При</w:t>
      </w:r>
      <w:r w:rsidR="001F5199">
        <w:rPr>
          <w:rFonts w:eastAsia="Times New Roman"/>
          <w:szCs w:val="18"/>
          <w:lang w:eastAsia="ru-RU"/>
        </w:rPr>
        <w:t xml:space="preserve"> осмотре: температура тела 38,8 С. Кожные покровы гиперемированы</w:t>
      </w:r>
      <w:r w:rsidRPr="00A87CFD">
        <w:rPr>
          <w:rFonts w:eastAsia="Times New Roman"/>
          <w:szCs w:val="18"/>
          <w:lang w:eastAsia="ru-RU"/>
        </w:rPr>
        <w:t>. Зев чистый. Молочные железы безболезненные, трещин на сосках нет. Лактация достаточная, пульс 100 уд</w:t>
      </w:r>
      <w:proofErr w:type="gramStart"/>
      <w:r w:rsidRPr="00A87CFD">
        <w:rPr>
          <w:rFonts w:eastAsia="Times New Roman"/>
          <w:szCs w:val="18"/>
          <w:lang w:eastAsia="ru-RU"/>
        </w:rPr>
        <w:t>.</w:t>
      </w:r>
      <w:proofErr w:type="gramEnd"/>
      <w:r w:rsidRPr="00A87CFD">
        <w:rPr>
          <w:rFonts w:eastAsia="Times New Roman"/>
          <w:szCs w:val="18"/>
          <w:lang w:eastAsia="ru-RU"/>
        </w:rPr>
        <w:t>/</w:t>
      </w:r>
      <w:proofErr w:type="gramStart"/>
      <w:r w:rsidRPr="00A87CFD">
        <w:rPr>
          <w:rFonts w:eastAsia="Times New Roman"/>
          <w:szCs w:val="18"/>
          <w:lang w:eastAsia="ru-RU"/>
        </w:rPr>
        <w:t>м</w:t>
      </w:r>
      <w:proofErr w:type="gramEnd"/>
      <w:r w:rsidRPr="00A87CFD">
        <w:rPr>
          <w:rFonts w:eastAsia="Times New Roman"/>
          <w:szCs w:val="18"/>
          <w:lang w:eastAsia="ru-RU"/>
        </w:rPr>
        <w:t xml:space="preserve">ин., ритмичный, АД 120/80 мм рт. ст. Со стороны легких и сердца – без </w:t>
      </w:r>
      <w:r w:rsidR="001F5199">
        <w:rPr>
          <w:rFonts w:eastAsia="Times New Roman"/>
          <w:szCs w:val="18"/>
          <w:lang w:eastAsia="ru-RU"/>
        </w:rPr>
        <w:t xml:space="preserve">особенностей. </w:t>
      </w:r>
    </w:p>
    <w:p w:rsidR="005C6E1F" w:rsidRDefault="00A87CFD" w:rsidP="00A87C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 w:rsidRPr="00A87CFD">
        <w:rPr>
          <w:rFonts w:eastAsia="Times New Roman"/>
          <w:szCs w:val="18"/>
          <w:lang w:eastAsia="ru-RU"/>
        </w:rPr>
        <w:t xml:space="preserve">Живот при пальпации мягкий, отмечается болезненность в нижних отделах, больше над лоном. Дно матки пальпируется на 4 см выше лона, симптомов раздражения брюшины нет. </w:t>
      </w:r>
      <w:proofErr w:type="spellStart"/>
      <w:r w:rsidRPr="00A87CFD">
        <w:rPr>
          <w:rFonts w:eastAsia="Times New Roman"/>
          <w:szCs w:val="18"/>
          <w:lang w:eastAsia="ru-RU"/>
        </w:rPr>
        <w:t>Лохии</w:t>
      </w:r>
      <w:proofErr w:type="spellEnd"/>
      <w:r w:rsidRPr="00A87CFD">
        <w:rPr>
          <w:rFonts w:eastAsia="Times New Roman"/>
          <w:szCs w:val="18"/>
          <w:lang w:eastAsia="ru-RU"/>
        </w:rPr>
        <w:t xml:space="preserve"> </w:t>
      </w:r>
      <w:proofErr w:type="spellStart"/>
      <w:r w:rsidRPr="00A87CFD">
        <w:rPr>
          <w:rFonts w:eastAsia="Times New Roman"/>
          <w:szCs w:val="18"/>
          <w:lang w:eastAsia="ru-RU"/>
        </w:rPr>
        <w:t>кровяносто</w:t>
      </w:r>
      <w:proofErr w:type="spellEnd"/>
      <w:r w:rsidRPr="00A87CFD">
        <w:rPr>
          <w:rFonts w:eastAsia="Times New Roman"/>
          <w:szCs w:val="18"/>
          <w:lang w:eastAsia="ru-RU"/>
        </w:rPr>
        <w:t>-гнойные с неприятным запахом.</w:t>
      </w:r>
    </w:p>
    <w:p w:rsidR="005C6E1F" w:rsidRPr="008C6E8E" w:rsidRDefault="005C6E1F" w:rsidP="005C6E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5C6E1F" w:rsidRPr="008C6E8E" w:rsidRDefault="005C6E1F" w:rsidP="005C6E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5C6E1F" w:rsidRPr="008C6E8E" w:rsidRDefault="005C6E1F" w:rsidP="005C6E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5C6E1F" w:rsidRPr="008C6E8E" w:rsidRDefault="005C6E1F" w:rsidP="005C6E1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1F5199" w:rsidRPr="001F5199" w:rsidRDefault="001F5199" w:rsidP="001F5199">
      <w:pPr>
        <w:spacing w:line="276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Продемонстрируйте технику</w:t>
      </w:r>
      <w:r w:rsidRPr="001F5199">
        <w:rPr>
          <w:rFonts w:eastAsia="Times New Roman"/>
          <w:color w:val="000000"/>
          <w:lang w:eastAsia="ru-RU"/>
        </w:rPr>
        <w:t xml:space="preserve"> внутривенного введения антибактериальных препаратов</w:t>
      </w:r>
      <w:r>
        <w:rPr>
          <w:rFonts w:eastAsia="Times New Roman"/>
          <w:color w:val="000000"/>
          <w:lang w:eastAsia="ru-RU"/>
        </w:rPr>
        <w:t>,</w:t>
      </w:r>
      <w:r w:rsidRPr="001F5199">
        <w:t xml:space="preserve"> </w:t>
      </w:r>
      <w:r w:rsidRPr="001F5199">
        <w:rPr>
          <w:rFonts w:eastAsia="Times New Roman"/>
          <w:color w:val="000000"/>
          <w:lang w:eastAsia="ru-RU"/>
        </w:rPr>
        <w:t>измерения температуры тела; АД по методу Короткова; пальпации матки, молочных желез, туалет</w:t>
      </w:r>
      <w:r>
        <w:rPr>
          <w:rFonts w:eastAsia="Times New Roman"/>
          <w:color w:val="000000"/>
          <w:lang w:eastAsia="ru-RU"/>
        </w:rPr>
        <w:t>а наружных половых органов, подготовку</w:t>
      </w:r>
      <w:r w:rsidRPr="001F5199">
        <w:rPr>
          <w:rFonts w:eastAsia="Times New Roman"/>
          <w:color w:val="000000"/>
          <w:lang w:eastAsia="ru-RU"/>
        </w:rPr>
        <w:t xml:space="preserve"> к бактериологическому исс</w:t>
      </w:r>
      <w:r>
        <w:rPr>
          <w:rFonts w:eastAsia="Times New Roman"/>
          <w:color w:val="000000"/>
          <w:lang w:eastAsia="ru-RU"/>
        </w:rPr>
        <w:t>ледованию отделяемого влагалища,</w:t>
      </w:r>
      <w:r w:rsidRPr="001F5199">
        <w:rPr>
          <w:rFonts w:eastAsia="Times New Roman"/>
          <w:color w:val="000000"/>
          <w:lang w:eastAsia="ru-RU"/>
        </w:rPr>
        <w:t xml:space="preserve"> УЗИ органов малого таза</w:t>
      </w:r>
    </w:p>
    <w:p w:rsidR="005C6E1F" w:rsidRDefault="001F5199" w:rsidP="005C6E1F">
      <w:r>
        <w:rPr>
          <w:rFonts w:eastAsia="Times New Roman"/>
          <w:color w:val="000000"/>
          <w:lang w:eastAsia="ru-RU"/>
        </w:rPr>
        <w:t xml:space="preserve">          </w:t>
      </w:r>
      <w:r w:rsidR="005C6E1F" w:rsidRPr="008C6E8E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  <w:r w:rsidR="005C6E1F" w:rsidRPr="008C6E8E">
        <w:rPr>
          <w:rFonts w:eastAsia="Times New Roman"/>
          <w:bCs/>
          <w:szCs w:val="18"/>
          <w:lang w:eastAsia="ru-RU"/>
        </w:rPr>
        <w:t xml:space="preserve">              </w:t>
      </w:r>
    </w:p>
    <w:sectPr w:rsidR="005C6E1F" w:rsidSect="003F7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31"/>
    <w:rsid w:val="00105BFA"/>
    <w:rsid w:val="001F5199"/>
    <w:rsid w:val="00343A37"/>
    <w:rsid w:val="003F7A31"/>
    <w:rsid w:val="004F66D1"/>
    <w:rsid w:val="005C6E1F"/>
    <w:rsid w:val="00774F31"/>
    <w:rsid w:val="00A87CFD"/>
    <w:rsid w:val="00B35BA2"/>
    <w:rsid w:val="00E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Александрина Елена Анатольевна</cp:lastModifiedBy>
  <cp:revision>2</cp:revision>
  <dcterms:created xsi:type="dcterms:W3CDTF">2024-12-13T11:26:00Z</dcterms:created>
  <dcterms:modified xsi:type="dcterms:W3CDTF">2024-12-13T12:20:00Z</dcterms:modified>
</cp:coreProperties>
</file>